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nmf14n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HAZARDOUS PRODUCTS INVENTORY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ind w:hanging="63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75.0" w:type="dxa"/>
        <w:jc w:val="left"/>
        <w:tblInd w:w="-668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0"/>
        <w:gridCol w:w="2520"/>
        <w:gridCol w:w="2520"/>
        <w:gridCol w:w="2155"/>
        <w:tblGridChange w:id="0">
          <w:tblGrid>
            <w:gridCol w:w="3080"/>
            <w:gridCol w:w="2520"/>
            <w:gridCol w:w="2520"/>
            <w:gridCol w:w="2155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ind w:left="-90" w:right="3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Product Name</w:t>
            </w:r>
          </w:p>
        </w:tc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ind w:right="-15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Location Product Stored</w:t>
            </w:r>
          </w:p>
        </w:tc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ind w:right="-9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WHMIS Class</w:t>
            </w:r>
          </w:p>
        </w:tc>
        <w:tc>
          <w:tcPr>
            <w:shd w:fill="e8e8e8" w:val="clear"/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SDS Date of issue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ind w:right="-4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938338" cy="59135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8338" cy="5913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JU7c0YPBVxjZTmbO1ZxmORvJzQ==">CgMxLjAyCGgubm1mMTRuOAByITF6c3kxekc5TmI5N0ZpNzBOdDJHak1LRDN4WTJ3M2dDRQ==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